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黑体"/>
          <w:color w:val="000000"/>
          <w:sz w:val="32"/>
          <w:szCs w:val="32"/>
        </w:rPr>
        <w:t>附件1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kern w:val="0"/>
          <w:sz w:val="44"/>
          <w:szCs w:val="44"/>
        </w:rPr>
        <w:t>浙江省供销</w:t>
      </w:r>
      <w:r>
        <w:rPr>
          <w:rFonts w:ascii="Times New Roman" w:hAnsi="Times New Roman" w:eastAsia="方正小标宋简体"/>
          <w:color w:val="000000"/>
          <w:spacing w:val="-10"/>
          <w:kern w:val="0"/>
          <w:sz w:val="44"/>
          <w:szCs w:val="44"/>
        </w:rPr>
        <w:t>社2020年</w:t>
      </w:r>
      <w:r>
        <w:rPr>
          <w:rFonts w:ascii="Times New Roman" w:hAnsi="Times New Roman" w:eastAsia="方正小标宋简体"/>
          <w:color w:val="000000"/>
          <w:kern w:val="0"/>
          <w:sz w:val="44"/>
          <w:szCs w:val="44"/>
        </w:rPr>
        <w:t>度科学研究项目指南</w:t>
      </w:r>
    </w:p>
    <w:p>
      <w:pPr>
        <w:rPr>
          <w:rFonts w:ascii="Times New Roman" w:hAnsi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重点项目：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1.全省数字农合联建设思路与推广模式研究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2.农合联服务协同创新研究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3.乡镇农合联服务能力提升研究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4.产业农合联实体化运作模式研究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5.品牌引领的农产品产销一体化服务体系建设研究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6.供销社社有资产监管统计分析体系建设研究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7.社有资产重大决策风险评估机制和风险应对机制研究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8.社有经济健康发展评价体系和评估办法研究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9.推进供销社社有企业务农化思路与对策研究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10.供销合作社基层组织建设创新研究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11.农家小吃产业服务创新研究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12.农产品冷链物流体系建设研究</w:t>
      </w:r>
    </w:p>
    <w:p>
      <w:pPr>
        <w:widowControl/>
        <w:shd w:val="clear" w:color="auto" w:fill="FFFFFF"/>
        <w:spacing w:line="600" w:lineRule="exact"/>
        <w:ind w:right="112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黑体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一般项目：</w:t>
      </w:r>
    </w:p>
    <w:p>
      <w:pPr>
        <w:widowControl/>
        <w:shd w:val="clear" w:color="auto" w:fill="FFFFFF"/>
        <w:spacing w:line="600" w:lineRule="exact"/>
        <w:ind w:right="1120"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1.消费扶贫长效机制构建研究</w:t>
      </w:r>
    </w:p>
    <w:p>
      <w:pPr>
        <w:widowControl/>
        <w:shd w:val="clear" w:color="auto" w:fill="FFFFFF"/>
        <w:spacing w:line="600" w:lineRule="exact"/>
        <w:ind w:right="1120"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2.供销社参与扶贫开发的模式研究</w:t>
      </w:r>
    </w:p>
    <w:p>
      <w:pPr>
        <w:widowControl/>
        <w:shd w:val="clear" w:color="auto" w:fill="FFFFFF"/>
        <w:spacing w:line="600" w:lineRule="exact"/>
        <w:ind w:right="1120"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color w:val="000000"/>
          <w:kern w:val="0"/>
          <w:sz w:val="32"/>
          <w:szCs w:val="32"/>
        </w:rPr>
        <w:t>3.产业发展助推乡村振兴创新研究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4.农合联两项制度运行机制优化研究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color w:val="000000"/>
          <w:kern w:val="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5.供销社“三会”规范运行机制研究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6.村综合服务社建设运营机制研究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7.公益性农贸市场托管运营机制研究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8.合作社助推小农户与现代农业发展有机衔接的模式研究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9.浙江茶产业服务创新研究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10. 特色农业全产业链数字化管理创新研究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11.“三位一体”农信服务创新集成研究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12.农合联特色农业保险产品开发机制与实践探索研究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13.农资企业服务转型升级研究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14.全球疫情背景下供销社社属企业外贸困境及对策研究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15.社有资产与国有资产的比较研究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16.统筹力量，强化社有资产监管的对策研究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17.乡村振兴背景下的供销社文化建设研究</w:t>
      </w:r>
    </w:p>
    <w:p>
      <w:pPr>
        <w:spacing w:line="600" w:lineRule="exact"/>
        <w:ind w:firstLine="640" w:firstLineChars="200"/>
        <w:rPr>
          <w:rFonts w:ascii="Times New Roman" w:hAnsi="Times New Roman" w:eastAsia="黑体"/>
          <w:color w:val="000000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18.新目标新定位下供销社的社会形象重塑和提升研究</w:t>
      </w:r>
    </w:p>
    <w:p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Times New Roman" w:hAnsi="Times New Roman" w:eastAsia="黑体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Times New Roman" w:hAnsi="Times New Roman" w:eastAsia="黑体"/>
          <w:color w:val="000000"/>
          <w:sz w:val="32"/>
          <w:szCs w:val="32"/>
        </w:rPr>
      </w:pPr>
    </w:p>
    <w:p>
      <w:pPr>
        <w:spacing w:line="600" w:lineRule="exact"/>
        <w:rPr>
          <w:rFonts w:hint="eastAsia" w:ascii="Times New Roman" w:hAnsi="Times New Roman" w:eastAsia="黑体"/>
          <w:color w:val="000000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/>
          <w:color w:val="00000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AF3004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天外飞仙</cp:lastModifiedBy>
  <dcterms:modified xsi:type="dcterms:W3CDTF">2020-06-02T07:31:07Z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